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25" w:rsidRDefault="003960FA" w:rsidP="00F8680D">
      <w:pPr>
        <w:ind w:left="284" w:firstLine="424"/>
      </w:pPr>
      <w:bookmarkStart w:id="0" w:name="_GoBack"/>
      <w:bookmarkEnd w:id="0"/>
      <w:r>
        <w:t>Maluml</w:t>
      </w:r>
      <w:r w:rsidR="00117AE7">
        <w:t>arı olduğu üzere Tıbbi cihazlar</w:t>
      </w:r>
      <w:r>
        <w:t xml:space="preserve"> Gümrük Birliği anlaşması çerçevesinde tüm AB ülkelerinde ve ülkemizde malların ve hizmetlerin serbest dolaşımı ilkesine uygun olarak hazırlanmış düzenlemelere uy</w:t>
      </w:r>
      <w:r w:rsidR="00117AE7">
        <w:t>acak</w:t>
      </w:r>
      <w:r>
        <w:t xml:space="preserve"> şekilde piyasaya arz edilmektedir. Bu bağlamda AB üyesi ülkeler </w:t>
      </w:r>
      <w:r w:rsidR="00117AE7">
        <w:t>ile</w:t>
      </w:r>
      <w:r>
        <w:t xml:space="preserve"> </w:t>
      </w:r>
      <w:r w:rsidR="00E319FD">
        <w:t>ülkemizde</w:t>
      </w:r>
      <w:r>
        <w:t xml:space="preserve"> </w:t>
      </w:r>
      <w:r w:rsidR="00E319FD">
        <w:t>aynı mevzuat hükümleri geçerli olup tıbbi cihazlar alanında faaliyet gösteren onaylanmış kuruluşlar başta olmak üzere tıbbi cihazlar alanındaki tüm faaliyetler</w:t>
      </w:r>
      <w:r w:rsidR="00117AE7">
        <w:t>,</w:t>
      </w:r>
      <w:r w:rsidR="00E319FD">
        <w:t xml:space="preserve"> Gümrük Birliği anlaşması çerçevesinde AB komisyonu nezdinde karşılıklı tanıma esasına göre yürütülmektedir.</w:t>
      </w:r>
      <w:r>
        <w:t xml:space="preserve"> </w:t>
      </w:r>
      <w:r w:rsidR="00117AE7">
        <w:t>Bu nedenle,</w:t>
      </w:r>
      <w:r w:rsidR="00E319FD">
        <w:t xml:space="preserve"> İngiltere’nin </w:t>
      </w:r>
      <w:r w:rsidRPr="003960FA">
        <w:t xml:space="preserve">1973 yılında </w:t>
      </w:r>
      <w:r w:rsidR="00F464B5" w:rsidRPr="003960FA">
        <w:t>dâhil</w:t>
      </w:r>
      <w:r w:rsidRPr="003960FA">
        <w:t xml:space="preserve"> olduğu Avrupa Birliği'nden </w:t>
      </w:r>
      <w:r w:rsidR="00E319FD">
        <w:t>ayrılma</w:t>
      </w:r>
      <w:r w:rsidR="00A81DFD">
        <w:t xml:space="preserve"> süreci ve bu süreçte AB komisyonu ile yapılacak anlaşmalar,</w:t>
      </w:r>
      <w:r w:rsidR="00E319FD">
        <w:t xml:space="preserve"> </w:t>
      </w:r>
      <w:r w:rsidR="00A81DFD">
        <w:t xml:space="preserve">İngiltere’de </w:t>
      </w:r>
      <w:r w:rsidR="00E319FD">
        <w:t>tıbbi cihaz alanında faaliyet gösteren</w:t>
      </w:r>
      <w:r w:rsidR="00A81DFD">
        <w:t xml:space="preserve"> firmalar ve onaylanmış kuruluşlar için büyük önem arz etmektedir. </w:t>
      </w:r>
      <w:r w:rsidR="00717625">
        <w:t xml:space="preserve">Bu bağlamda ilgili taraflara bilgi vermek amacıyla </w:t>
      </w:r>
      <w:proofErr w:type="spellStart"/>
      <w:r w:rsidR="00717625">
        <w:t>Brexit</w:t>
      </w:r>
      <w:proofErr w:type="spellEnd"/>
      <w:r w:rsidR="00717625">
        <w:t xml:space="preserve"> ile ilgili süreç özetlenmiştir. </w:t>
      </w:r>
    </w:p>
    <w:p w:rsidR="00D13E65" w:rsidRDefault="003960FA" w:rsidP="00F8680D">
      <w:pPr>
        <w:ind w:left="284" w:firstLine="424"/>
      </w:pPr>
      <w:r>
        <w:t xml:space="preserve">14 Mart 2019 tarihi itibarı ile </w:t>
      </w:r>
      <w:r w:rsidR="00FB7DCF">
        <w:t>İngiltere Parlamentosunda</w:t>
      </w:r>
      <w:r w:rsidR="00D13E65">
        <w:t xml:space="preserve">, </w:t>
      </w:r>
      <w:r w:rsidR="00FB7DCF">
        <w:t xml:space="preserve">29 Mart 2019 tarihinde gerçekleşmesi gereken İngiltere’nin </w:t>
      </w:r>
      <w:r w:rsidR="00340987">
        <w:t>Avrupa Birliği’nden (</w:t>
      </w:r>
      <w:r w:rsidR="00FB7DCF">
        <w:t>AB</w:t>
      </w:r>
      <w:r w:rsidR="00340987">
        <w:t xml:space="preserve">) </w:t>
      </w:r>
      <w:r w:rsidR="00FB7DCF">
        <w:t>çıkışı</w:t>
      </w:r>
      <w:r w:rsidR="00D13E65">
        <w:t xml:space="preserve">nın erteleme alması </w:t>
      </w:r>
      <w:r w:rsidR="00340987">
        <w:t xml:space="preserve">durumu </w:t>
      </w:r>
      <w:r w:rsidR="00F8680D">
        <w:t>oylanmıştır</w:t>
      </w:r>
      <w:r w:rsidR="00D13E65">
        <w:t xml:space="preserve">. </w:t>
      </w:r>
      <w:r w:rsidR="00F8680D">
        <w:t xml:space="preserve">Oylama sonucuna göre, </w:t>
      </w:r>
      <w:proofErr w:type="spellStart"/>
      <w:r w:rsidR="00F8680D">
        <w:t>Theresa</w:t>
      </w:r>
      <w:proofErr w:type="spellEnd"/>
      <w:r w:rsidR="00F8680D">
        <w:t xml:space="preserve"> May hükümetinin AB ile müzakere edilen </w:t>
      </w:r>
      <w:proofErr w:type="spellStart"/>
      <w:r w:rsidR="00F8680D">
        <w:t>Brexit</w:t>
      </w:r>
      <w:proofErr w:type="spellEnd"/>
      <w:r w:rsidR="00F8680D">
        <w:t xml:space="preserve"> anlaşmasının 20 Mart’tan önce bir kez daha </w:t>
      </w:r>
      <w:r w:rsidR="004879E4">
        <w:t xml:space="preserve">İngiltere Parlamentosunda oylanması ve kabul edilmesi durumunda </w:t>
      </w:r>
      <w:r w:rsidR="00F8680D">
        <w:t xml:space="preserve">hükümetin AB’den </w:t>
      </w:r>
      <w:proofErr w:type="spellStart"/>
      <w:r w:rsidR="00F8680D">
        <w:t>Brexit’in</w:t>
      </w:r>
      <w:proofErr w:type="spellEnd"/>
      <w:r w:rsidR="00F8680D">
        <w:t xml:space="preserve"> 30 Haziran’a kadar ertelenmesini talep etmesi hususu karara bağlanmıştır. Ancak ertelemeye ilişkin kararın </w:t>
      </w:r>
      <w:r w:rsidR="00D13E65">
        <w:t>Konseyde oybirliği ile kabul edilme</w:t>
      </w:r>
      <w:r w:rsidR="00F8680D">
        <w:t xml:space="preserve">mesi </w:t>
      </w:r>
      <w:r w:rsidR="0090346B">
        <w:t>ihtimali</w:t>
      </w:r>
      <w:r w:rsidR="00475B25">
        <w:t xml:space="preserve"> nedeniyle hala </w:t>
      </w:r>
      <w:r w:rsidR="00D13E65">
        <w:t xml:space="preserve">Anlaşmasız </w:t>
      </w:r>
      <w:proofErr w:type="spellStart"/>
      <w:r w:rsidR="00D13E65">
        <w:t>Brexit</w:t>
      </w:r>
      <w:proofErr w:type="spellEnd"/>
      <w:r w:rsidR="00D13E65">
        <w:t xml:space="preserve"> (No-</w:t>
      </w:r>
      <w:proofErr w:type="spellStart"/>
      <w:r w:rsidR="00D13E65">
        <w:t>deal</w:t>
      </w:r>
      <w:proofErr w:type="spellEnd"/>
      <w:r w:rsidR="006D4F12">
        <w:t xml:space="preserve"> </w:t>
      </w:r>
      <w:proofErr w:type="spellStart"/>
      <w:r w:rsidR="006D4F12">
        <w:t>Brexit</w:t>
      </w:r>
      <w:proofErr w:type="spellEnd"/>
      <w:r w:rsidR="00E6715D">
        <w:t>) tehdidi bulunmaktadır</w:t>
      </w:r>
      <w:r w:rsidR="00D13E65">
        <w:t xml:space="preserve">. </w:t>
      </w:r>
    </w:p>
    <w:p w:rsidR="00FB7DCF" w:rsidRDefault="00340987" w:rsidP="00950916">
      <w:pPr>
        <w:ind w:left="284" w:firstLine="424"/>
      </w:pPr>
      <w:r>
        <w:t xml:space="preserve">Avrupa Komisyonu’nun 1 Şubat 2019 tarihli Anlaşmasız </w:t>
      </w:r>
      <w:proofErr w:type="spellStart"/>
      <w:r>
        <w:t>Brexit’in</w:t>
      </w:r>
      <w:proofErr w:type="spellEnd"/>
      <w:r>
        <w:t xml:space="preserve"> </w:t>
      </w:r>
      <w:r w:rsidR="006D4F12">
        <w:t>tıbbi cihazlar</w:t>
      </w:r>
      <w:r>
        <w:t xml:space="preserve"> </w:t>
      </w:r>
      <w:r w:rsidR="006D4F12">
        <w:t xml:space="preserve">da </w:t>
      </w:r>
      <w:r w:rsidR="00F464B5">
        <w:t>dâhil</w:t>
      </w:r>
      <w:r>
        <w:t xml:space="preserve"> olmak üzere endüstri ürünlerine etkilerine yönelik </w:t>
      </w:r>
      <w:r w:rsidR="00475B25">
        <w:t xml:space="preserve">bir </w:t>
      </w:r>
      <w:r>
        <w:t xml:space="preserve">bilgi </w:t>
      </w:r>
      <w:r w:rsidR="00475B25">
        <w:t>notu yayımlanmış olup ilgi belgede</w:t>
      </w:r>
      <w:r>
        <w:t xml:space="preserve"> aşağıda</w:t>
      </w:r>
      <w:r w:rsidR="004879E4">
        <w:t>ki hususla</w:t>
      </w:r>
      <w:r w:rsidR="00475B25">
        <w:t>ra yer verilmiştir.</w:t>
      </w:r>
    </w:p>
    <w:p w:rsidR="006D4F12" w:rsidRDefault="006D4F12" w:rsidP="00F2506B">
      <w:pPr>
        <w:pStyle w:val="ListeParagraf"/>
        <w:numPr>
          <w:ilvl w:val="0"/>
          <w:numId w:val="1"/>
        </w:numPr>
        <w:ind w:left="284" w:firstLine="0"/>
      </w:pPr>
      <w:r>
        <w:t>29 Mart’ta İngiltere’nin AB’den anlaşmasız bir şekilde</w:t>
      </w:r>
      <w:r w:rsidR="00F464B5">
        <w:t xml:space="preserve"> çıkması durumunda İngiltere’de </w:t>
      </w:r>
      <w:r>
        <w:t>yerleşik onaylanmış kuruluşların verdikleri belgeler 30 Mart’tan itibaren geçersiz olacak</w:t>
      </w:r>
      <w:r w:rsidR="00340987">
        <w:t>tır</w:t>
      </w:r>
      <w:r>
        <w:t>.</w:t>
      </w:r>
    </w:p>
    <w:p w:rsidR="006D4F12" w:rsidRDefault="006D4F12" w:rsidP="00F2506B">
      <w:pPr>
        <w:pStyle w:val="ListeParagraf"/>
        <w:numPr>
          <w:ilvl w:val="0"/>
          <w:numId w:val="1"/>
        </w:numPr>
        <w:ind w:left="284" w:firstLine="0"/>
      </w:pPr>
      <w:r>
        <w:t xml:space="preserve">Bu durum; </w:t>
      </w:r>
      <w:r w:rsidRPr="006D4F12">
        <w:rPr>
          <w:b/>
        </w:rPr>
        <w:t xml:space="preserve">İngiltere’deki bir </w:t>
      </w:r>
      <w:proofErr w:type="spellStart"/>
      <w:r w:rsidRPr="006D4F12">
        <w:rPr>
          <w:b/>
        </w:rPr>
        <w:t>OK’dan</w:t>
      </w:r>
      <w:proofErr w:type="spellEnd"/>
      <w:r w:rsidRPr="006D4F12">
        <w:rPr>
          <w:b/>
        </w:rPr>
        <w:t xml:space="preserve"> CE sertifikası olan</w:t>
      </w:r>
      <w:r>
        <w:t xml:space="preserve"> veya </w:t>
      </w:r>
      <w:r w:rsidRPr="006D4F12">
        <w:rPr>
          <w:b/>
        </w:rPr>
        <w:t>pazara İngiltere’deki bir üretici ya da yetkili temsilci aracılığı ile giren</w:t>
      </w:r>
      <w:r>
        <w:t xml:space="preserve"> ürünleri kullanan ya da bu ürünler ile ilişkili olan şirketler ve sağlık hizmeti sunucuları için önem arz etmekte</w:t>
      </w:r>
      <w:r w:rsidR="00340987">
        <w:t>dir</w:t>
      </w:r>
      <w:r>
        <w:t>.</w:t>
      </w:r>
    </w:p>
    <w:p w:rsidR="0092709A" w:rsidRDefault="006D4F12" w:rsidP="001A0419">
      <w:pPr>
        <w:pStyle w:val="ListeParagraf"/>
        <w:numPr>
          <w:ilvl w:val="0"/>
          <w:numId w:val="1"/>
        </w:numPr>
        <w:ind w:left="284" w:firstLine="0"/>
      </w:pPr>
      <w:r>
        <w:t xml:space="preserve"> </w:t>
      </w:r>
      <w:r w:rsidR="00E6715D">
        <w:t xml:space="preserve">Anlaşmasız </w:t>
      </w:r>
      <w:proofErr w:type="spellStart"/>
      <w:r w:rsidR="00E6715D">
        <w:t>Brexit</w:t>
      </w:r>
      <w:proofErr w:type="spellEnd"/>
      <w:r w:rsidR="00E6715D">
        <w:t xml:space="preserve"> durumunda, İngiltere</w:t>
      </w:r>
      <w:r w:rsidR="001A0419">
        <w:t xml:space="preserve">’den ya da İngiltere üzerinden bir tıbbi cihazın pazara girebilmesi için </w:t>
      </w:r>
      <w:r w:rsidR="00E6715D">
        <w:t xml:space="preserve">bir AB Üyesi Ülke veya Türkiye’de </w:t>
      </w:r>
      <w:r w:rsidR="00310EEC">
        <w:t xml:space="preserve">bir </w:t>
      </w:r>
      <w:r w:rsidR="00E6715D">
        <w:t xml:space="preserve">yetkili temsilci </w:t>
      </w:r>
      <w:r w:rsidR="00310EEC">
        <w:t>atanması gerekecektir</w:t>
      </w:r>
      <w:r w:rsidR="00E6715D">
        <w:t xml:space="preserve">. </w:t>
      </w:r>
    </w:p>
    <w:p w:rsidR="001A0419" w:rsidRDefault="001A0419" w:rsidP="001A0419">
      <w:pPr>
        <w:pStyle w:val="ListeParagraf"/>
        <w:numPr>
          <w:ilvl w:val="0"/>
          <w:numId w:val="1"/>
        </w:numPr>
        <w:ind w:left="284" w:firstLine="0"/>
      </w:pPr>
      <w:proofErr w:type="spellStart"/>
      <w:r>
        <w:t>Brexit</w:t>
      </w:r>
      <w:proofErr w:type="spellEnd"/>
      <w:r>
        <w:t xml:space="preserve"> öncesinde AB pazarında bulu</w:t>
      </w:r>
      <w:r w:rsidR="00310EEC">
        <w:t xml:space="preserve">nan </w:t>
      </w:r>
      <w:r>
        <w:t>ürünler</w:t>
      </w:r>
      <w:r w:rsidR="00310EEC">
        <w:t>,</w:t>
      </w:r>
      <w:r>
        <w:t xml:space="preserve"> yeniden sertifikalandırma veya yeniden etiketleme olmadan kullanılabilecektir. Ancak ürün </w:t>
      </w:r>
      <w:proofErr w:type="spellStart"/>
      <w:r>
        <w:t>Brexit</w:t>
      </w:r>
      <w:proofErr w:type="spellEnd"/>
      <w:r>
        <w:t xml:space="preserve"> öncesinde pazara girmiş olsa da </w:t>
      </w:r>
      <w:r w:rsidR="00310EEC">
        <w:t>27 AB Üyesi Ülke</w:t>
      </w:r>
      <w:r>
        <w:t xml:space="preserve"> veya TR’de bir yetkili temsilci ataması gerekecektir.</w:t>
      </w:r>
    </w:p>
    <w:p w:rsidR="00E6715D" w:rsidRDefault="00BD672D" w:rsidP="00F2506B">
      <w:pPr>
        <w:pStyle w:val="ListeParagraf"/>
        <w:numPr>
          <w:ilvl w:val="0"/>
          <w:numId w:val="1"/>
        </w:numPr>
        <w:ind w:left="284" w:firstLine="0"/>
      </w:pPr>
      <w:r>
        <w:t xml:space="preserve">Ürünlerin pazarda kalmaya devam edebilmesi için önemli bir </w:t>
      </w:r>
      <w:proofErr w:type="gramStart"/>
      <w:r>
        <w:t>kriter</w:t>
      </w:r>
      <w:proofErr w:type="gramEnd"/>
      <w:r>
        <w:t xml:space="preserve"> bir tıbbi cihazın ya da in-</w:t>
      </w:r>
      <w:proofErr w:type="spellStart"/>
      <w:r>
        <w:t>vitro</w:t>
      </w:r>
      <w:proofErr w:type="spellEnd"/>
      <w:r>
        <w:t xml:space="preserve"> tanı tıbbi cihazının </w:t>
      </w:r>
      <w:proofErr w:type="spellStart"/>
      <w:r>
        <w:t>Brexit</w:t>
      </w:r>
      <w:proofErr w:type="spellEnd"/>
      <w:r>
        <w:t xml:space="preserve"> tarihi </w:t>
      </w:r>
      <w:r w:rsidR="00A74F73">
        <w:t>öncesinde pazara çıkıp çıkmaması</w:t>
      </w:r>
      <w:r>
        <w:t>, ürünün bu tarihten önce kullanımda olup</w:t>
      </w:r>
      <w:r w:rsidR="00A74F73">
        <w:t xml:space="preserve"> olmaması</w:t>
      </w:r>
      <w:r>
        <w:t xml:space="preserve"> ya da </w:t>
      </w:r>
      <w:r w:rsidRPr="0092709A">
        <w:rPr>
          <w:b/>
        </w:rPr>
        <w:t>üretim süreci</w:t>
      </w:r>
      <w:r w:rsidR="00A74F73" w:rsidRPr="0092709A">
        <w:rPr>
          <w:b/>
        </w:rPr>
        <w:t xml:space="preserve">nin </w:t>
      </w:r>
      <w:proofErr w:type="spellStart"/>
      <w:r w:rsidR="00A74F73" w:rsidRPr="0092709A">
        <w:rPr>
          <w:b/>
        </w:rPr>
        <w:t>Brexit</w:t>
      </w:r>
      <w:proofErr w:type="spellEnd"/>
      <w:r w:rsidR="00A74F73" w:rsidRPr="0092709A">
        <w:rPr>
          <w:b/>
        </w:rPr>
        <w:t xml:space="preserve"> öncesinde tamamlanıp ürünün dağıtım zincirinde olup olmaması</w:t>
      </w:r>
      <w:r>
        <w:t xml:space="preserve"> (örneğin bir tedarik anlaşmasına dayanarak)</w:t>
      </w:r>
      <w:r w:rsidR="00A74F73">
        <w:t xml:space="preserve"> hususudur. Eğer bu şartlardan biri gerçekliyor ise ürün AB pazarında kalmaya devam edecektir. Değilse, bu ürünler üçüncü ülkeden ithal edilen mallar gibi değerlendirilecek ve mevzuatın buna ilişkin maddeleri uygulanacaktır. En önemlisi de ürünlerin 27 AB Üyesi Ülke ve</w:t>
      </w:r>
      <w:r w:rsidR="00F120CA">
        <w:t>ya</w:t>
      </w:r>
      <w:r w:rsidR="00A74F73">
        <w:t xml:space="preserve"> TR tarafından </w:t>
      </w:r>
      <w:r w:rsidR="00340987">
        <w:t>yetkilendirilmiş</w:t>
      </w:r>
      <w:r w:rsidR="00A74F73">
        <w:t xml:space="preserve"> bir </w:t>
      </w:r>
      <w:r w:rsidR="00340987">
        <w:t xml:space="preserve">Onaylanmış </w:t>
      </w:r>
      <w:proofErr w:type="spellStart"/>
      <w:r w:rsidR="00340987">
        <w:lastRenderedPageBreak/>
        <w:t>Kuruluş’tan</w:t>
      </w:r>
      <w:proofErr w:type="spellEnd"/>
      <w:r w:rsidR="00340987">
        <w:t xml:space="preserve"> (</w:t>
      </w:r>
      <w:r w:rsidR="00A74F73">
        <w:t>OK</w:t>
      </w:r>
      <w:r w:rsidR="00340987">
        <w:t>)</w:t>
      </w:r>
      <w:r w:rsidR="00A74F73">
        <w:t xml:space="preserve"> CE sertifikası alması ve bu ülkelerin birinde yetkili temsilci ataması gerekecektir.</w:t>
      </w:r>
    </w:p>
    <w:p w:rsidR="001106DA" w:rsidRDefault="00A74F73" w:rsidP="00F2506B">
      <w:pPr>
        <w:pStyle w:val="ListeParagraf"/>
        <w:numPr>
          <w:ilvl w:val="0"/>
          <w:numId w:val="1"/>
        </w:numPr>
        <w:ind w:left="284" w:firstLine="0"/>
      </w:pPr>
      <w:r>
        <w:t>Bir ürünün üretim süreci bitmiş ve üretici ile müşteri (tedarikçi ya da sağlık hizmeti sunucusu) arasındaki ticari işlem</w:t>
      </w:r>
      <w:r w:rsidR="001A0419">
        <w:t>,</w:t>
      </w:r>
      <w:r>
        <w:t xml:space="preserve"> </w:t>
      </w:r>
      <w:r w:rsidR="00F120CA">
        <w:t>tedarik anlaşması gibi bir anlaşma</w:t>
      </w:r>
      <w:r>
        <w:t xml:space="preserve"> ile tamamlanmış ise o ürün artık dağıtım zincirinde sayılmaktadır. </w:t>
      </w:r>
      <w:r w:rsidR="00F120CA">
        <w:t>Üretic</w:t>
      </w:r>
      <w:r>
        <w:t xml:space="preserve">i ve müşteri arasında çok yıllı bir anlaşma imzalanmış </w:t>
      </w:r>
      <w:r w:rsidR="00640065">
        <w:t xml:space="preserve">ise, sadece </w:t>
      </w:r>
      <w:proofErr w:type="spellStart"/>
      <w:r w:rsidR="00640065">
        <w:t>Brexit</w:t>
      </w:r>
      <w:proofErr w:type="spellEnd"/>
      <w:r w:rsidR="00640065">
        <w:t xml:space="preserve"> öncesinde üretilmiş olan ürünler satın alınıp kullanılabilir. </w:t>
      </w:r>
    </w:p>
    <w:p w:rsidR="00A74F73" w:rsidRDefault="001A0419" w:rsidP="00F2506B">
      <w:pPr>
        <w:pStyle w:val="ListeParagraf"/>
        <w:numPr>
          <w:ilvl w:val="0"/>
          <w:numId w:val="1"/>
        </w:numPr>
        <w:ind w:left="284" w:firstLine="0"/>
      </w:pPr>
      <w:r>
        <w:t xml:space="preserve">Örneğin, stokta, </w:t>
      </w:r>
      <w:r w:rsidR="00640065">
        <w:t>AB dağıtıcısında ya da üçün</w:t>
      </w:r>
      <w:r>
        <w:t>cü bir ülkeden gemiye yüklenmiş olan tıbbi cihazlar,</w:t>
      </w:r>
      <w:r w:rsidR="00640065">
        <w:t xml:space="preserve"> dağıtım zincirine girmiş olacağından, sağlık hizmeti sunucuları tarafından kullanılabilecektir. Bu </w:t>
      </w:r>
      <w:r>
        <w:t>tarihi belgelemek adına</w:t>
      </w:r>
      <w:r w:rsidR="00640065">
        <w:t xml:space="preserve">, fatura, ürünlerin sevk </w:t>
      </w:r>
      <w:proofErr w:type="gramStart"/>
      <w:r w:rsidR="00640065">
        <w:t>kağıdı</w:t>
      </w:r>
      <w:proofErr w:type="gramEnd"/>
      <w:r w:rsidR="00640065">
        <w:t>, anlaşma gibi</w:t>
      </w:r>
      <w:r w:rsidR="00F120CA">
        <w:t xml:space="preserve"> dokümanların toptan satıcılar</w:t>
      </w:r>
      <w:r w:rsidR="00640065">
        <w:t xml:space="preserve">, sağlık hizmet sunucuları ve diğer kullanıcılar tarafından saklanması </w:t>
      </w:r>
      <w:r>
        <w:t>faydalı olacaktır</w:t>
      </w:r>
      <w:r w:rsidR="00640065">
        <w:t xml:space="preserve">. </w:t>
      </w:r>
    </w:p>
    <w:p w:rsidR="00310EEC" w:rsidRDefault="001106DA" w:rsidP="00F2506B">
      <w:pPr>
        <w:pStyle w:val="ListeParagraf"/>
        <w:numPr>
          <w:ilvl w:val="0"/>
          <w:numId w:val="1"/>
        </w:numPr>
        <w:ind w:left="284" w:firstLine="0"/>
      </w:pPr>
      <w:r>
        <w:t xml:space="preserve">Yani </w:t>
      </w:r>
      <w:r w:rsidR="00CE0E62">
        <w:t xml:space="preserve">Birlik pazarına giriş tarihi olarak üretici ile AB pazarındaki müşteri arasındaki anlaşma tarihi </w:t>
      </w:r>
      <w:proofErr w:type="gramStart"/>
      <w:r w:rsidR="00CE0E62">
        <w:t>baz</w:t>
      </w:r>
      <w:proofErr w:type="gramEnd"/>
      <w:r w:rsidR="00CE0E62">
        <w:t xml:space="preserve"> alınmakta olup ürünler fiziksel olarak sevk edilmese de AB pazarın</w:t>
      </w:r>
      <w:r w:rsidR="00B15D69">
        <w:t>a</w:t>
      </w:r>
      <w:r w:rsidR="00CE0E62">
        <w:t xml:space="preserve"> girmiş sayılacaktır.</w:t>
      </w:r>
    </w:p>
    <w:p w:rsidR="007A4B00" w:rsidRDefault="00B15D69" w:rsidP="00310EEC">
      <w:pPr>
        <w:pStyle w:val="ListeParagraf"/>
        <w:ind w:left="284"/>
      </w:pPr>
      <w:r>
        <w:t xml:space="preserve"> </w:t>
      </w:r>
    </w:p>
    <w:p w:rsidR="00D85ABE" w:rsidRDefault="007A4B00" w:rsidP="00F2506B">
      <w:pPr>
        <w:pStyle w:val="ListeParagraf"/>
        <w:numPr>
          <w:ilvl w:val="0"/>
          <w:numId w:val="5"/>
        </w:numPr>
        <w:ind w:left="284" w:firstLine="0"/>
        <w:rPr>
          <w:b/>
        </w:rPr>
      </w:pPr>
      <w:r>
        <w:rPr>
          <w:b/>
        </w:rPr>
        <w:t xml:space="preserve">Anlaşmasız </w:t>
      </w:r>
      <w:proofErr w:type="spellStart"/>
      <w:r>
        <w:rPr>
          <w:b/>
        </w:rPr>
        <w:t>Brexit</w:t>
      </w:r>
      <w:proofErr w:type="spellEnd"/>
      <w:r>
        <w:rPr>
          <w:b/>
        </w:rPr>
        <w:t xml:space="preserve"> durumunda </w:t>
      </w:r>
      <w:r w:rsidRPr="007A4B00">
        <w:rPr>
          <w:b/>
        </w:rPr>
        <w:t>İngiltere’</w:t>
      </w:r>
      <w:r w:rsidR="00F23D7E">
        <w:rPr>
          <w:b/>
        </w:rPr>
        <w:t>den veya İngiltere üzerinden</w:t>
      </w:r>
      <w:r w:rsidRPr="007A4B00">
        <w:rPr>
          <w:b/>
        </w:rPr>
        <w:t xml:space="preserve"> yapılan ithalatın sonuçları:</w:t>
      </w:r>
    </w:p>
    <w:p w:rsidR="00D85ABE" w:rsidRPr="00D85ABE" w:rsidRDefault="007A4B00" w:rsidP="00F2506B">
      <w:pPr>
        <w:pStyle w:val="ListeParagraf"/>
        <w:numPr>
          <w:ilvl w:val="0"/>
          <w:numId w:val="2"/>
        </w:numPr>
        <w:ind w:left="284" w:firstLine="0"/>
        <w:rPr>
          <w:b/>
        </w:rPr>
      </w:pPr>
      <w:r w:rsidRPr="00D85ABE">
        <w:t>İngiltere</w:t>
      </w:r>
      <w:r w:rsidRPr="007A4B00">
        <w:t>’</w:t>
      </w:r>
      <w:r w:rsidR="00F23D7E">
        <w:t>den veya İngiltere üzerinden</w:t>
      </w:r>
      <w:r w:rsidRPr="007A4B00">
        <w:t xml:space="preserve"> yapılan ithalatlar üçüncü ülkeden yapılan ithalatlar gibi sayılacak ve Dünya Ticaret Örgütü tarifelerine </w:t>
      </w:r>
      <w:r w:rsidR="00310EEC">
        <w:t xml:space="preserve">(gümrük vergisi) </w:t>
      </w:r>
      <w:r w:rsidRPr="007A4B00">
        <w:t>tabi olacaktır.</w:t>
      </w:r>
      <w:r>
        <w:t xml:space="preserve"> </w:t>
      </w:r>
      <w:r w:rsidRPr="00D85ABE">
        <w:t xml:space="preserve">Ürünlerin etiketlerinin de buna göre ayarlanması gerekmektedir. </w:t>
      </w:r>
    </w:p>
    <w:p w:rsidR="00D85ABE" w:rsidRPr="00D85ABE" w:rsidRDefault="007A4B00" w:rsidP="00F2506B">
      <w:pPr>
        <w:pStyle w:val="ListeParagraf"/>
        <w:numPr>
          <w:ilvl w:val="0"/>
          <w:numId w:val="2"/>
        </w:numPr>
        <w:ind w:left="284" w:firstLine="0"/>
        <w:rPr>
          <w:b/>
        </w:rPr>
      </w:pPr>
      <w:r w:rsidRPr="007A4B00">
        <w:t xml:space="preserve">Bu durum </w:t>
      </w:r>
      <w:proofErr w:type="spellStart"/>
      <w:r w:rsidRPr="007A4B00">
        <w:t>OK’ların</w:t>
      </w:r>
      <w:proofErr w:type="spellEnd"/>
      <w:r w:rsidRPr="007A4B00">
        <w:t xml:space="preserve"> sürece </w:t>
      </w:r>
      <w:r w:rsidR="003920C9" w:rsidRPr="007A4B00">
        <w:t>dâhil</w:t>
      </w:r>
      <w:r w:rsidRPr="007A4B00">
        <w:t xml:space="preserve"> olmadığı Sınıf</w:t>
      </w:r>
      <w:r w:rsidR="00310EEC">
        <w:t xml:space="preserve"> </w:t>
      </w:r>
      <w:r w:rsidRPr="007A4B00">
        <w:t xml:space="preserve">I tipi cihazlar için de geçerlidir. </w:t>
      </w:r>
      <w:r w:rsidR="00D85ABE">
        <w:t xml:space="preserve">Tüm tıbbi cihazların/in </w:t>
      </w:r>
      <w:proofErr w:type="spellStart"/>
      <w:r w:rsidR="00D85ABE">
        <w:t>vitro</w:t>
      </w:r>
      <w:proofErr w:type="spellEnd"/>
      <w:r w:rsidR="00D85ABE">
        <w:t xml:space="preserve"> tıbbi tanı cihazlarının </w:t>
      </w:r>
      <w:r w:rsidRPr="007A4B00">
        <w:t>AB</w:t>
      </w:r>
      <w:r w:rsidR="00310EEC">
        <w:t xml:space="preserve"> veya TR</w:t>
      </w:r>
      <w:r w:rsidRPr="007A4B00">
        <w:t xml:space="preserve">’deki yetkili temsilci ile birlikte </w:t>
      </w:r>
      <w:r w:rsidR="00310EEC">
        <w:t>AB/TR</w:t>
      </w:r>
      <w:r w:rsidRPr="007A4B00">
        <w:t xml:space="preserve"> pazarında bulunabilmesi için </w:t>
      </w:r>
      <w:r w:rsidRPr="00D85ABE">
        <w:t xml:space="preserve">ulusal kayıt sistemine kayıt yaptırması </w:t>
      </w:r>
      <w:r w:rsidR="00310EEC">
        <w:t>gerekmektedir.</w:t>
      </w:r>
    </w:p>
    <w:p w:rsidR="00D85ABE" w:rsidRPr="00D85ABE" w:rsidRDefault="00D85ABE" w:rsidP="00F2506B">
      <w:pPr>
        <w:ind w:left="284"/>
        <w:jc w:val="center"/>
        <w:rPr>
          <w:b/>
          <w:u w:val="single"/>
        </w:rPr>
      </w:pPr>
      <w:r w:rsidRPr="00D85ABE">
        <w:rPr>
          <w:b/>
          <w:u w:val="single"/>
        </w:rPr>
        <w:t xml:space="preserve">Anlaşmasız </w:t>
      </w:r>
      <w:proofErr w:type="spellStart"/>
      <w:r w:rsidRPr="00D85ABE">
        <w:rPr>
          <w:b/>
          <w:u w:val="single"/>
        </w:rPr>
        <w:t>Brexit</w:t>
      </w:r>
      <w:proofErr w:type="spellEnd"/>
      <w:r w:rsidRPr="00D85ABE">
        <w:rPr>
          <w:b/>
          <w:u w:val="single"/>
        </w:rPr>
        <w:t xml:space="preserve"> Kapsamında Yapılması Gereken Hazırlıklar</w:t>
      </w:r>
    </w:p>
    <w:p w:rsidR="00D85ABE" w:rsidRDefault="00F2506B" w:rsidP="00F2506B">
      <w:pPr>
        <w:pStyle w:val="ListeParagraf"/>
        <w:numPr>
          <w:ilvl w:val="0"/>
          <w:numId w:val="4"/>
        </w:numPr>
        <w:ind w:left="284" w:firstLine="0"/>
        <w:rPr>
          <w:b/>
        </w:rPr>
      </w:pPr>
      <w:r>
        <w:rPr>
          <w:b/>
        </w:rPr>
        <w:t>Sağlık hizmet sunucuları</w:t>
      </w:r>
      <w:r w:rsidR="00D85ABE" w:rsidRPr="00D85ABE">
        <w:rPr>
          <w:b/>
        </w:rPr>
        <w:t>, araştırma kurumlar</w:t>
      </w:r>
      <w:r w:rsidR="00585E0F">
        <w:rPr>
          <w:b/>
        </w:rPr>
        <w:t>ı ve sağlık sigortası kurumları</w:t>
      </w:r>
      <w:r w:rsidR="00D85ABE" w:rsidRPr="00D85ABE">
        <w:rPr>
          <w:b/>
        </w:rPr>
        <w:t>:</w:t>
      </w:r>
    </w:p>
    <w:p w:rsidR="00D85ABE" w:rsidRDefault="00310EEC" w:rsidP="00F2506B">
      <w:pPr>
        <w:pStyle w:val="ListeParagraf"/>
        <w:numPr>
          <w:ilvl w:val="0"/>
          <w:numId w:val="6"/>
        </w:numPr>
        <w:ind w:left="284" w:firstLine="0"/>
      </w:pPr>
      <w:r>
        <w:t>T</w:t>
      </w:r>
      <w:r w:rsidRPr="00F2506B">
        <w:t xml:space="preserve">ıbbi cihazlar </w:t>
      </w:r>
      <w:r>
        <w:t xml:space="preserve">alanında </w:t>
      </w:r>
      <w:r w:rsidR="00585E0F">
        <w:t xml:space="preserve">İngiltere ile ticaret hacmi, hangi cihazlar için </w:t>
      </w:r>
      <w:r w:rsidR="00F2506B">
        <w:t xml:space="preserve">İngiltere’de yerleşik </w:t>
      </w:r>
      <w:r w:rsidR="00585E0F">
        <w:t xml:space="preserve">bir </w:t>
      </w:r>
      <w:proofErr w:type="spellStart"/>
      <w:r w:rsidR="00585E0F">
        <w:t>OK’dan</w:t>
      </w:r>
      <w:proofErr w:type="spellEnd"/>
      <w:r w:rsidR="00585E0F">
        <w:t xml:space="preserve"> EC sertifikası</w:t>
      </w:r>
      <w:r w:rsidR="00F2506B" w:rsidRPr="00F2506B">
        <w:t xml:space="preserve"> </w:t>
      </w:r>
      <w:r w:rsidR="00585E0F">
        <w:t xml:space="preserve">alındığı </w:t>
      </w:r>
      <w:r w:rsidR="00F2506B">
        <w:t xml:space="preserve">veya </w:t>
      </w:r>
      <w:r w:rsidR="00585E0F">
        <w:t xml:space="preserve">hangi cihazların </w:t>
      </w:r>
      <w:r w:rsidR="00F2506B">
        <w:t>İngil</w:t>
      </w:r>
      <w:r w:rsidR="00585E0F">
        <w:t>tere’de yerleşik bir üretici tarafından</w:t>
      </w:r>
      <w:r w:rsidR="00F2506B">
        <w:t xml:space="preserve"> piyasaya sunulduğuna dair bir </w:t>
      </w:r>
      <w:proofErr w:type="gramStart"/>
      <w:r w:rsidR="00F2506B">
        <w:t>envanter</w:t>
      </w:r>
      <w:proofErr w:type="gramEnd"/>
      <w:r w:rsidR="00F2506B" w:rsidRPr="00F2506B">
        <w:t xml:space="preserve"> çıkarmaları gerekmektedir.</w:t>
      </w:r>
      <w:r w:rsidR="00F2506B">
        <w:t xml:space="preserve"> </w:t>
      </w:r>
    </w:p>
    <w:p w:rsidR="00F2506B" w:rsidRDefault="00F2506B" w:rsidP="00F2506B">
      <w:pPr>
        <w:pStyle w:val="ListeParagraf"/>
        <w:numPr>
          <w:ilvl w:val="0"/>
          <w:numId w:val="6"/>
        </w:numPr>
        <w:ind w:left="284" w:firstLine="0"/>
      </w:pPr>
      <w:r>
        <w:t xml:space="preserve">Bu bilgileri, tedarikçi, toptan satıcı, satın alan kuruluş ya da ithalatçıdan </w:t>
      </w:r>
      <w:r w:rsidR="00F120CA">
        <w:t>almaları</w:t>
      </w:r>
      <w:r>
        <w:t xml:space="preserve"> gerekmektedir.</w:t>
      </w:r>
    </w:p>
    <w:p w:rsidR="00F23F3B" w:rsidRDefault="00F23F3B" w:rsidP="00F23F3B">
      <w:pPr>
        <w:pStyle w:val="ListeParagraf"/>
        <w:ind w:left="284"/>
      </w:pPr>
    </w:p>
    <w:p w:rsidR="00F2506B" w:rsidRPr="00F2506B" w:rsidRDefault="00F2506B" w:rsidP="00F2506B">
      <w:pPr>
        <w:pStyle w:val="ListeParagraf"/>
        <w:numPr>
          <w:ilvl w:val="0"/>
          <w:numId w:val="4"/>
        </w:numPr>
        <w:ind w:left="284" w:firstLine="0"/>
        <w:rPr>
          <w:b/>
        </w:rPr>
      </w:pPr>
      <w:r w:rsidRPr="00F2506B">
        <w:rPr>
          <w:b/>
        </w:rPr>
        <w:t>Üreticiler, yetkili temsilciler ve dağıtıcılar:</w:t>
      </w:r>
    </w:p>
    <w:p w:rsidR="007A4B00" w:rsidRDefault="000474DF" w:rsidP="000474DF">
      <w:pPr>
        <w:pStyle w:val="ListeParagraf"/>
        <w:numPr>
          <w:ilvl w:val="0"/>
          <w:numId w:val="7"/>
        </w:numPr>
        <w:ind w:left="284" w:firstLine="0"/>
      </w:pPr>
      <w:r w:rsidRPr="000474DF">
        <w:t xml:space="preserve">İngiltere’de yerleşik bir </w:t>
      </w:r>
      <w:proofErr w:type="spellStart"/>
      <w:r w:rsidRPr="000474DF">
        <w:t>OK’dan</w:t>
      </w:r>
      <w:proofErr w:type="spellEnd"/>
      <w:r w:rsidRPr="000474DF">
        <w:t xml:space="preserve"> uygunluk değerlendirmesi hizmeti alan cihazların üreticileri, İngiltere’nin AB’den ayrıldığı tarihten itibaren ürün dosyalarını AB</w:t>
      </w:r>
      <w:r w:rsidR="00585E0F">
        <w:t xml:space="preserve"> veya TR</w:t>
      </w:r>
      <w:r w:rsidRPr="000474DF">
        <w:t xml:space="preserve">’de </w:t>
      </w:r>
      <w:r w:rsidR="00585E0F">
        <w:t>yetkilendirilmiş</w:t>
      </w:r>
      <w:r w:rsidRPr="000474DF">
        <w:t xml:space="preserve"> başka bir </w:t>
      </w:r>
      <w:proofErr w:type="spellStart"/>
      <w:r w:rsidRPr="000474DF">
        <w:t>OK’ya</w:t>
      </w:r>
      <w:proofErr w:type="spellEnd"/>
      <w:r w:rsidRPr="000474DF">
        <w:t xml:space="preserve"> transfer etmeye hazırlıklı olmalıdır.</w:t>
      </w:r>
    </w:p>
    <w:p w:rsidR="0092709A" w:rsidRDefault="000474DF" w:rsidP="0092709A">
      <w:pPr>
        <w:pStyle w:val="ListeParagraf"/>
        <w:numPr>
          <w:ilvl w:val="0"/>
          <w:numId w:val="7"/>
        </w:numPr>
        <w:ind w:left="284" w:firstLine="0"/>
      </w:pPr>
      <w:r>
        <w:t>Ürünlerini İngiltere’de yerleşik bir temsilci veya ithalatçı üzerinden AB ve</w:t>
      </w:r>
      <w:r w:rsidR="00A4100E">
        <w:t>ya</w:t>
      </w:r>
      <w:r>
        <w:t xml:space="preserve"> </w:t>
      </w:r>
      <w:r w:rsidR="00A4100E">
        <w:t>TR</w:t>
      </w:r>
      <w:r>
        <w:t xml:space="preserve"> pazarına sokan üçüncü ülkelerin üreticileri</w:t>
      </w:r>
      <w:r w:rsidR="00F23F3B">
        <w:t xml:space="preserve"> </w:t>
      </w:r>
      <w:r w:rsidR="00A4100E">
        <w:t>de 27 Üye Ülke veya TR</w:t>
      </w:r>
      <w:r w:rsidR="00F23F3B">
        <w:t xml:space="preserve">’de bir yetkili temsilci atamak durumundadır. </w:t>
      </w:r>
      <w:r w:rsidR="00A4100E">
        <w:t xml:space="preserve">Ürünün etiketi </w:t>
      </w:r>
      <w:r w:rsidR="0092709A">
        <w:t xml:space="preserve">de </w:t>
      </w:r>
      <w:r w:rsidR="00A4100E">
        <w:t xml:space="preserve">27 Üye Ülke veya TR </w:t>
      </w:r>
      <w:r w:rsidR="0092709A">
        <w:t>içinden bir ithalatçının bilgisi olacak şekilde yeniden basılmalıdır.</w:t>
      </w:r>
    </w:p>
    <w:p w:rsidR="00F23F3B" w:rsidRDefault="00F23F3B" w:rsidP="000474DF">
      <w:pPr>
        <w:pStyle w:val="ListeParagraf"/>
        <w:numPr>
          <w:ilvl w:val="0"/>
          <w:numId w:val="7"/>
        </w:numPr>
        <w:ind w:left="284" w:firstLine="0"/>
      </w:pPr>
      <w:r>
        <w:t xml:space="preserve">İngiltere’nin AB’den ayrılması durumunda üçüncü ülke olarak değerlendirilmesi gerekeceğinden İngiltere’den ya da İngiltere </w:t>
      </w:r>
      <w:r w:rsidR="00F23D7E">
        <w:t>üzerinden</w:t>
      </w:r>
      <w:r>
        <w:t xml:space="preserve"> pazara girecek ürünler gümrük tarifelerine maruz kalacaktır.</w:t>
      </w:r>
    </w:p>
    <w:p w:rsidR="00A4100E" w:rsidRDefault="004855FE" w:rsidP="00AE5774">
      <w:pPr>
        <w:pStyle w:val="ListeParagraf"/>
        <w:numPr>
          <w:ilvl w:val="0"/>
          <w:numId w:val="7"/>
        </w:numPr>
        <w:ind w:left="284" w:firstLine="0"/>
      </w:pPr>
      <w:r>
        <w:lastRenderedPageBreak/>
        <w:t xml:space="preserve">Ürünlerinin sertifikalandırılmasını İngiltere’deki bir </w:t>
      </w:r>
      <w:proofErr w:type="spellStart"/>
      <w:r>
        <w:t>OK’dan</w:t>
      </w:r>
      <w:proofErr w:type="spellEnd"/>
      <w:r>
        <w:t xml:space="preserve"> AB</w:t>
      </w:r>
      <w:r w:rsidR="00A4100E">
        <w:t>/TR’de yerleşik</w:t>
      </w:r>
      <w:r>
        <w:t xml:space="preserve"> </w:t>
      </w:r>
      <w:r w:rsidR="00A4100E">
        <w:t xml:space="preserve">bir </w:t>
      </w:r>
      <w:proofErr w:type="spellStart"/>
      <w:r>
        <w:t>OK’ya</w:t>
      </w:r>
      <w:proofErr w:type="spellEnd"/>
      <w:r>
        <w:t xml:space="preserve"> transfer eden ür</w:t>
      </w:r>
      <w:r w:rsidR="00A4100E">
        <w:t xml:space="preserve">eticilerin AB uygunluk beyanlarını </w:t>
      </w:r>
      <w:r>
        <w:t>ve onaylanmış kuruluş sertifikalarını buna göre yeniden düzenlemeleri gere</w:t>
      </w:r>
      <w:r w:rsidR="00A4100E">
        <w:t>kmektedir. Söz konusu belgelerin,</w:t>
      </w:r>
      <w:r>
        <w:t xml:space="preserve"> sorumluluğun yeni </w:t>
      </w:r>
      <w:proofErr w:type="spellStart"/>
      <w:r>
        <w:t>OK’da</w:t>
      </w:r>
      <w:proofErr w:type="spellEnd"/>
      <w:r>
        <w:t xml:space="preserve"> olduğunu göstermesi ve </w:t>
      </w:r>
      <w:r w:rsidR="0069367A">
        <w:t>hem e</w:t>
      </w:r>
      <w:r w:rsidR="00A4100E">
        <w:t xml:space="preserve">ski hem de yeni </w:t>
      </w:r>
      <w:proofErr w:type="spellStart"/>
      <w:r w:rsidR="00A4100E">
        <w:t>OK’nın</w:t>
      </w:r>
      <w:proofErr w:type="spellEnd"/>
      <w:r w:rsidR="00A4100E">
        <w:t xml:space="preserve"> bilgi</w:t>
      </w:r>
      <w:r w:rsidR="0069367A">
        <w:t xml:space="preserve"> ve numaralarını bulundurması gerekmektedir. </w:t>
      </w:r>
    </w:p>
    <w:p w:rsidR="00A4100E" w:rsidRDefault="00A4100E" w:rsidP="00A4100E">
      <w:pPr>
        <w:pStyle w:val="ListeParagraf"/>
        <w:ind w:left="284"/>
      </w:pPr>
    </w:p>
    <w:p w:rsidR="00F23F3B" w:rsidRDefault="00F23F3B" w:rsidP="00F464B5">
      <w:pPr>
        <w:pStyle w:val="ListeParagraf"/>
        <w:numPr>
          <w:ilvl w:val="0"/>
          <w:numId w:val="4"/>
        </w:numPr>
        <w:ind w:left="284" w:firstLine="0"/>
        <w:rPr>
          <w:b/>
        </w:rPr>
      </w:pPr>
      <w:r w:rsidRPr="00F23F3B">
        <w:rPr>
          <w:b/>
        </w:rPr>
        <w:t>Tedarikçiler, toptancılar ve alıcı kuruluşlar</w:t>
      </w:r>
      <w:r>
        <w:rPr>
          <w:b/>
        </w:rPr>
        <w:t>:</w:t>
      </w:r>
    </w:p>
    <w:p w:rsidR="00F23F3B" w:rsidRDefault="00F23F3B" w:rsidP="003920C9">
      <w:pPr>
        <w:pStyle w:val="ListeParagraf"/>
        <w:numPr>
          <w:ilvl w:val="0"/>
          <w:numId w:val="8"/>
        </w:numPr>
        <w:ind w:left="284" w:firstLine="0"/>
      </w:pPr>
      <w:r w:rsidRPr="00F23F3B">
        <w:t>Sağlık hizmeti sunucularını ve diğer tıbbi cihaz kullanıc</w:t>
      </w:r>
      <w:r w:rsidR="003920C9">
        <w:t xml:space="preserve">ılarını tedarikte ve piyasaya </w:t>
      </w:r>
      <w:r w:rsidR="009650CB">
        <w:t xml:space="preserve">sunumda yaşanabilecek problemler ve potansiyel alternatifler hakkında bilgilendirmek </w:t>
      </w:r>
      <w:r w:rsidRPr="00F23F3B">
        <w:t>te</w:t>
      </w:r>
      <w:r>
        <w:t>dar</w:t>
      </w:r>
      <w:r w:rsidRPr="00F23F3B">
        <w:t xml:space="preserve">ikçiler, toptancılar ve </w:t>
      </w:r>
      <w:r>
        <w:t xml:space="preserve">tıbbi cihaz </w:t>
      </w:r>
      <w:r w:rsidRPr="00F23F3B">
        <w:t>al</w:t>
      </w:r>
      <w:r>
        <w:t>ıcısı kuruluşların görevidir.</w:t>
      </w:r>
    </w:p>
    <w:p w:rsidR="009650CB" w:rsidRDefault="009650CB" w:rsidP="003920C9">
      <w:pPr>
        <w:pStyle w:val="ListeParagraf"/>
        <w:numPr>
          <w:ilvl w:val="0"/>
          <w:numId w:val="8"/>
        </w:numPr>
        <w:ind w:left="284" w:firstLine="0"/>
      </w:pPr>
      <w:r>
        <w:t xml:space="preserve">AB pazarına İngiltere’den veya İngiltere </w:t>
      </w:r>
      <w:r w:rsidR="00F23D7E">
        <w:t xml:space="preserve">üzerinden üçüncü ülkelerden </w:t>
      </w:r>
      <w:r>
        <w:t xml:space="preserve">piyasaya sunulan ürünler veya İngiltere’de yerleşik bir OK denetimine tabi olan tıbbi cihazlara ilişkin en iyi bilgi </w:t>
      </w:r>
      <w:r w:rsidRPr="00F23F3B">
        <w:t>te</w:t>
      </w:r>
      <w:r>
        <w:t>dar</w:t>
      </w:r>
      <w:r w:rsidRPr="00F23F3B">
        <w:t xml:space="preserve">ikçiler, toptancılar ve </w:t>
      </w:r>
      <w:r>
        <w:t xml:space="preserve">tıbbi cihaz </w:t>
      </w:r>
      <w:r w:rsidRPr="00F23F3B">
        <w:t>al</w:t>
      </w:r>
      <w:r>
        <w:t xml:space="preserve">ıcısı kuruluşlarda bulunmalıdır. </w:t>
      </w:r>
      <w:proofErr w:type="spellStart"/>
      <w:r>
        <w:t>OK’ların</w:t>
      </w:r>
      <w:proofErr w:type="spellEnd"/>
      <w:r>
        <w:t xml:space="preserve"> aşağıda belirtilen kodları bu ürünlerin takibinde kullanılabilecektir:</w:t>
      </w:r>
    </w:p>
    <w:p w:rsidR="009650CB" w:rsidRDefault="009650CB" w:rsidP="009650CB">
      <w:pPr>
        <w:pStyle w:val="ListeParagraf"/>
        <w:ind w:left="360"/>
      </w:pPr>
      <w:r>
        <w:t xml:space="preserve"> </w:t>
      </w:r>
    </w:p>
    <w:tbl>
      <w:tblPr>
        <w:tblStyle w:val="Rastertabel2-Accent51"/>
        <w:tblW w:w="0" w:type="auto"/>
        <w:jc w:val="center"/>
        <w:tblLook w:val="04A0" w:firstRow="1" w:lastRow="0" w:firstColumn="1" w:lastColumn="0" w:noHBand="0" w:noVBand="1"/>
      </w:tblPr>
      <w:tblGrid>
        <w:gridCol w:w="1990"/>
        <w:gridCol w:w="1610"/>
      </w:tblGrid>
      <w:tr w:rsidR="009650CB" w:rsidTr="004855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tcBorders>
          </w:tcPr>
          <w:p w:rsidR="009650CB" w:rsidRDefault="009650CB" w:rsidP="004855FE">
            <w:pPr>
              <w:jc w:val="center"/>
            </w:pPr>
            <w:r>
              <w:t>UK notified body</w:t>
            </w:r>
          </w:p>
          <w:p w:rsidR="009650CB" w:rsidRDefault="009650CB" w:rsidP="004855FE">
            <w:pPr>
              <w:jc w:val="center"/>
            </w:pPr>
            <w:r>
              <w:t>(NB)</w:t>
            </w:r>
          </w:p>
        </w:tc>
        <w:tc>
          <w:tcPr>
            <w:tcW w:w="0" w:type="auto"/>
            <w:tcBorders>
              <w:top w:val="single" w:sz="4" w:space="0" w:color="auto"/>
              <w:right w:val="single" w:sz="4" w:space="0" w:color="auto"/>
            </w:tcBorders>
          </w:tcPr>
          <w:p w:rsidR="009650CB" w:rsidRDefault="009650CB" w:rsidP="004855FE">
            <w:pPr>
              <w:jc w:val="center"/>
              <w:cnfStyle w:val="100000000000" w:firstRow="1" w:lastRow="0" w:firstColumn="0" w:lastColumn="0" w:oddVBand="0" w:evenVBand="0" w:oddHBand="0" w:evenHBand="0" w:firstRowFirstColumn="0" w:firstRowLastColumn="0" w:lastRowFirstColumn="0" w:lastRowLastColumn="0"/>
            </w:pPr>
            <w:r>
              <w:t xml:space="preserve">NB code </w:t>
            </w:r>
          </w:p>
          <w:p w:rsidR="009650CB" w:rsidRDefault="009650CB" w:rsidP="004855FE">
            <w:pPr>
              <w:jc w:val="center"/>
              <w:cnfStyle w:val="100000000000" w:firstRow="1" w:lastRow="0" w:firstColumn="0" w:lastColumn="0" w:oddVBand="0" w:evenVBand="0" w:oddHBand="0" w:evenHBand="0" w:firstRowFirstColumn="0" w:firstRowLastColumn="0" w:lastRowFirstColumn="0" w:lastRowLastColumn="0"/>
            </w:pPr>
            <w:r>
              <w:t>starting with:</w:t>
            </w:r>
          </w:p>
        </w:tc>
      </w:tr>
      <w:tr w:rsidR="009650CB" w:rsidTr="004855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rsidR="009650CB" w:rsidRDefault="009650CB" w:rsidP="004855FE">
            <w:pPr>
              <w:jc w:val="center"/>
            </w:pPr>
            <w:r>
              <w:t>BSI</w:t>
            </w:r>
          </w:p>
        </w:tc>
        <w:tc>
          <w:tcPr>
            <w:tcW w:w="0" w:type="auto"/>
            <w:tcBorders>
              <w:right w:val="single" w:sz="4" w:space="0" w:color="auto"/>
            </w:tcBorders>
          </w:tcPr>
          <w:p w:rsidR="009650CB" w:rsidRDefault="009650CB" w:rsidP="004855FE">
            <w:pPr>
              <w:jc w:val="center"/>
              <w:cnfStyle w:val="000000100000" w:firstRow="0" w:lastRow="0" w:firstColumn="0" w:lastColumn="0" w:oddVBand="0" w:evenVBand="0" w:oddHBand="1" w:evenHBand="0" w:firstRowFirstColumn="0" w:firstRowLastColumn="0" w:lastRowFirstColumn="0" w:lastRowLastColumn="0"/>
            </w:pPr>
            <w:r>
              <w:t>CE 0086</w:t>
            </w:r>
          </w:p>
        </w:tc>
      </w:tr>
      <w:tr w:rsidR="009650CB" w:rsidTr="004855F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rsidR="009650CB" w:rsidRDefault="009650CB" w:rsidP="004855FE">
            <w:pPr>
              <w:jc w:val="center"/>
            </w:pPr>
            <w:r>
              <w:t>LQRA</w:t>
            </w:r>
          </w:p>
        </w:tc>
        <w:tc>
          <w:tcPr>
            <w:tcW w:w="0" w:type="auto"/>
            <w:tcBorders>
              <w:right w:val="single" w:sz="4" w:space="0" w:color="auto"/>
            </w:tcBorders>
          </w:tcPr>
          <w:p w:rsidR="009650CB" w:rsidRDefault="009650CB" w:rsidP="004855FE">
            <w:pPr>
              <w:jc w:val="center"/>
              <w:cnfStyle w:val="000000000000" w:firstRow="0" w:lastRow="0" w:firstColumn="0" w:lastColumn="0" w:oddVBand="0" w:evenVBand="0" w:oddHBand="0" w:evenHBand="0" w:firstRowFirstColumn="0" w:firstRowLastColumn="0" w:lastRowFirstColumn="0" w:lastRowLastColumn="0"/>
            </w:pPr>
            <w:r>
              <w:t>CE 0088</w:t>
            </w:r>
          </w:p>
        </w:tc>
      </w:tr>
      <w:tr w:rsidR="009650CB" w:rsidTr="004855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rsidR="009650CB" w:rsidRDefault="009650CB" w:rsidP="004855FE">
            <w:pPr>
              <w:jc w:val="center"/>
            </w:pPr>
            <w:r>
              <w:t>SGS</w:t>
            </w:r>
          </w:p>
        </w:tc>
        <w:tc>
          <w:tcPr>
            <w:tcW w:w="0" w:type="auto"/>
            <w:tcBorders>
              <w:right w:val="single" w:sz="4" w:space="0" w:color="auto"/>
            </w:tcBorders>
          </w:tcPr>
          <w:p w:rsidR="009650CB" w:rsidRDefault="009650CB" w:rsidP="004855FE">
            <w:pPr>
              <w:jc w:val="center"/>
              <w:cnfStyle w:val="000000100000" w:firstRow="0" w:lastRow="0" w:firstColumn="0" w:lastColumn="0" w:oddVBand="0" w:evenVBand="0" w:oddHBand="1" w:evenHBand="0" w:firstRowFirstColumn="0" w:firstRowLastColumn="0" w:lastRowFirstColumn="0" w:lastRowLastColumn="0"/>
            </w:pPr>
            <w:r>
              <w:t>CE 0120</w:t>
            </w:r>
          </w:p>
        </w:tc>
      </w:tr>
      <w:tr w:rsidR="009650CB" w:rsidTr="004855F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tcPr>
          <w:p w:rsidR="009650CB" w:rsidRDefault="009650CB" w:rsidP="004855FE">
            <w:pPr>
              <w:jc w:val="center"/>
            </w:pPr>
            <w:r>
              <w:t>UL INT</w:t>
            </w:r>
          </w:p>
        </w:tc>
        <w:tc>
          <w:tcPr>
            <w:tcW w:w="0" w:type="auto"/>
            <w:tcBorders>
              <w:bottom w:val="single" w:sz="4" w:space="0" w:color="auto"/>
              <w:right w:val="single" w:sz="4" w:space="0" w:color="auto"/>
            </w:tcBorders>
          </w:tcPr>
          <w:p w:rsidR="009650CB" w:rsidRDefault="009650CB" w:rsidP="004855FE">
            <w:pPr>
              <w:jc w:val="center"/>
              <w:cnfStyle w:val="000000000000" w:firstRow="0" w:lastRow="0" w:firstColumn="0" w:lastColumn="0" w:oddVBand="0" w:evenVBand="0" w:oddHBand="0" w:evenHBand="0" w:firstRowFirstColumn="0" w:firstRowLastColumn="0" w:lastRowFirstColumn="0" w:lastRowLastColumn="0"/>
            </w:pPr>
            <w:r>
              <w:t>CE 0843</w:t>
            </w:r>
          </w:p>
        </w:tc>
      </w:tr>
    </w:tbl>
    <w:p w:rsidR="009650CB" w:rsidRPr="00F23F3B" w:rsidRDefault="009650CB" w:rsidP="009650CB">
      <w:pPr>
        <w:pStyle w:val="ListeParagraf"/>
        <w:ind w:left="360"/>
      </w:pPr>
    </w:p>
    <w:p w:rsidR="00F23F3B" w:rsidRPr="000474DF" w:rsidRDefault="001106DA" w:rsidP="001106DA">
      <w:pPr>
        <w:ind w:left="284" w:firstLine="424"/>
      </w:pPr>
      <w:r>
        <w:t xml:space="preserve">Konuya ilişkin Avrupa Komisyonu tarafından yayımlanan sık sorulan sorular hakkındaki linke </w:t>
      </w:r>
      <w:hyperlink r:id="rId8" w:history="1">
        <w:r w:rsidRPr="001106DA">
          <w:rPr>
            <w:rStyle w:val="Kpr"/>
          </w:rPr>
          <w:t>buradan</w:t>
        </w:r>
      </w:hyperlink>
      <w:r>
        <w:t xml:space="preserve"> erişim </w:t>
      </w:r>
      <w:proofErr w:type="gramStart"/>
      <w:r>
        <w:t>imkanı</w:t>
      </w:r>
      <w:proofErr w:type="gramEnd"/>
      <w:r>
        <w:t xml:space="preserve"> bulunmaktadır.</w:t>
      </w:r>
    </w:p>
    <w:p w:rsidR="007A4B00" w:rsidRPr="004855FE" w:rsidRDefault="007A4B00" w:rsidP="004855FE">
      <w:pPr>
        <w:pStyle w:val="ListeParagraf"/>
        <w:ind w:left="284"/>
      </w:pPr>
    </w:p>
    <w:sectPr w:rsidR="007A4B00" w:rsidRPr="004855FE" w:rsidSect="009650CB">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08" w:rsidRDefault="002B4108" w:rsidP="009650CB">
      <w:pPr>
        <w:spacing w:after="0" w:line="240" w:lineRule="auto"/>
      </w:pPr>
      <w:r>
        <w:separator/>
      </w:r>
    </w:p>
  </w:endnote>
  <w:endnote w:type="continuationSeparator" w:id="0">
    <w:p w:rsidR="002B4108" w:rsidRDefault="002B4108" w:rsidP="0096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15335"/>
      <w:docPartObj>
        <w:docPartGallery w:val="Page Numbers (Bottom of Page)"/>
        <w:docPartUnique/>
      </w:docPartObj>
    </w:sdtPr>
    <w:sdtEndPr/>
    <w:sdtContent>
      <w:p w:rsidR="00585E0F" w:rsidRDefault="00595AE9">
        <w:pPr>
          <w:pStyle w:val="AltBilgi"/>
          <w:jc w:val="right"/>
        </w:pPr>
        <w:r>
          <w:fldChar w:fldCharType="begin"/>
        </w:r>
        <w:r>
          <w:instrText xml:space="preserve"> PAGE   \* MERGEFORMAT </w:instrText>
        </w:r>
        <w:r>
          <w:fldChar w:fldCharType="separate"/>
        </w:r>
        <w:r w:rsidR="00B66D77">
          <w:rPr>
            <w:noProof/>
          </w:rPr>
          <w:t>3</w:t>
        </w:r>
        <w:r>
          <w:rPr>
            <w:noProof/>
          </w:rPr>
          <w:fldChar w:fldCharType="end"/>
        </w:r>
      </w:p>
    </w:sdtContent>
  </w:sdt>
  <w:p w:rsidR="00585E0F" w:rsidRDefault="00585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08" w:rsidRDefault="002B4108" w:rsidP="009650CB">
      <w:pPr>
        <w:spacing w:after="0" w:line="240" w:lineRule="auto"/>
      </w:pPr>
      <w:r>
        <w:separator/>
      </w:r>
    </w:p>
  </w:footnote>
  <w:footnote w:type="continuationSeparator" w:id="0">
    <w:p w:rsidR="002B4108" w:rsidRDefault="002B4108" w:rsidP="00965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78F"/>
    <w:multiLevelType w:val="hybridMultilevel"/>
    <w:tmpl w:val="A8B833A2"/>
    <w:lvl w:ilvl="0" w:tplc="041F000B">
      <w:start w:val="1"/>
      <w:numFmt w:val="bullet"/>
      <w:lvlText w:val=""/>
      <w:lvlJc w:val="left"/>
      <w:pPr>
        <w:ind w:left="1287"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15505CA9"/>
    <w:multiLevelType w:val="hybridMultilevel"/>
    <w:tmpl w:val="11A06E0E"/>
    <w:lvl w:ilvl="0" w:tplc="041F0001">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2" w15:restartNumberingAfterBreak="0">
    <w:nsid w:val="193E166C"/>
    <w:multiLevelType w:val="hybridMultilevel"/>
    <w:tmpl w:val="A3D8432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AF21771"/>
    <w:multiLevelType w:val="hybridMultilevel"/>
    <w:tmpl w:val="1F903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8B57A2"/>
    <w:multiLevelType w:val="hybridMultilevel"/>
    <w:tmpl w:val="75500E8C"/>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15:restartNumberingAfterBreak="0">
    <w:nsid w:val="72AB55D3"/>
    <w:multiLevelType w:val="hybridMultilevel"/>
    <w:tmpl w:val="3EC478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8496AF1"/>
    <w:multiLevelType w:val="hybridMultilevel"/>
    <w:tmpl w:val="BF2EFD66"/>
    <w:lvl w:ilvl="0" w:tplc="041F000B">
      <w:start w:val="1"/>
      <w:numFmt w:val="bullet"/>
      <w:lvlText w:val=""/>
      <w:lvlJc w:val="left"/>
      <w:pPr>
        <w:ind w:left="5464" w:hanging="360"/>
      </w:pPr>
      <w:rPr>
        <w:rFonts w:ascii="Wingdings" w:hAnsi="Wingdings" w:hint="default"/>
      </w:rPr>
    </w:lvl>
    <w:lvl w:ilvl="1" w:tplc="041F0003" w:tentative="1">
      <w:start w:val="1"/>
      <w:numFmt w:val="bullet"/>
      <w:lvlText w:val="o"/>
      <w:lvlJc w:val="left"/>
      <w:pPr>
        <w:ind w:left="6184" w:hanging="360"/>
      </w:pPr>
      <w:rPr>
        <w:rFonts w:ascii="Courier New" w:hAnsi="Courier New" w:cs="Courier New" w:hint="default"/>
      </w:rPr>
    </w:lvl>
    <w:lvl w:ilvl="2" w:tplc="041F0005" w:tentative="1">
      <w:start w:val="1"/>
      <w:numFmt w:val="bullet"/>
      <w:lvlText w:val=""/>
      <w:lvlJc w:val="left"/>
      <w:pPr>
        <w:ind w:left="6904" w:hanging="360"/>
      </w:pPr>
      <w:rPr>
        <w:rFonts w:ascii="Wingdings" w:hAnsi="Wingdings" w:hint="default"/>
      </w:rPr>
    </w:lvl>
    <w:lvl w:ilvl="3" w:tplc="041F0001" w:tentative="1">
      <w:start w:val="1"/>
      <w:numFmt w:val="bullet"/>
      <w:lvlText w:val=""/>
      <w:lvlJc w:val="left"/>
      <w:pPr>
        <w:ind w:left="7624" w:hanging="360"/>
      </w:pPr>
      <w:rPr>
        <w:rFonts w:ascii="Symbol" w:hAnsi="Symbol" w:hint="default"/>
      </w:rPr>
    </w:lvl>
    <w:lvl w:ilvl="4" w:tplc="041F0003" w:tentative="1">
      <w:start w:val="1"/>
      <w:numFmt w:val="bullet"/>
      <w:lvlText w:val="o"/>
      <w:lvlJc w:val="left"/>
      <w:pPr>
        <w:ind w:left="8344" w:hanging="360"/>
      </w:pPr>
      <w:rPr>
        <w:rFonts w:ascii="Courier New" w:hAnsi="Courier New" w:cs="Courier New" w:hint="default"/>
      </w:rPr>
    </w:lvl>
    <w:lvl w:ilvl="5" w:tplc="041F0005" w:tentative="1">
      <w:start w:val="1"/>
      <w:numFmt w:val="bullet"/>
      <w:lvlText w:val=""/>
      <w:lvlJc w:val="left"/>
      <w:pPr>
        <w:ind w:left="9064" w:hanging="360"/>
      </w:pPr>
      <w:rPr>
        <w:rFonts w:ascii="Wingdings" w:hAnsi="Wingdings" w:hint="default"/>
      </w:rPr>
    </w:lvl>
    <w:lvl w:ilvl="6" w:tplc="041F0001" w:tentative="1">
      <w:start w:val="1"/>
      <w:numFmt w:val="bullet"/>
      <w:lvlText w:val=""/>
      <w:lvlJc w:val="left"/>
      <w:pPr>
        <w:ind w:left="9784" w:hanging="360"/>
      </w:pPr>
      <w:rPr>
        <w:rFonts w:ascii="Symbol" w:hAnsi="Symbol" w:hint="default"/>
      </w:rPr>
    </w:lvl>
    <w:lvl w:ilvl="7" w:tplc="041F0003" w:tentative="1">
      <w:start w:val="1"/>
      <w:numFmt w:val="bullet"/>
      <w:lvlText w:val="o"/>
      <w:lvlJc w:val="left"/>
      <w:pPr>
        <w:ind w:left="10504" w:hanging="360"/>
      </w:pPr>
      <w:rPr>
        <w:rFonts w:ascii="Courier New" w:hAnsi="Courier New" w:cs="Courier New" w:hint="default"/>
      </w:rPr>
    </w:lvl>
    <w:lvl w:ilvl="8" w:tplc="041F0005" w:tentative="1">
      <w:start w:val="1"/>
      <w:numFmt w:val="bullet"/>
      <w:lvlText w:val=""/>
      <w:lvlJc w:val="left"/>
      <w:pPr>
        <w:ind w:left="11224" w:hanging="360"/>
      </w:pPr>
      <w:rPr>
        <w:rFonts w:ascii="Wingdings" w:hAnsi="Wingdings" w:hint="default"/>
      </w:rPr>
    </w:lvl>
  </w:abstractNum>
  <w:abstractNum w:abstractNumId="7" w15:restartNumberingAfterBreak="0">
    <w:nsid w:val="78C1681A"/>
    <w:multiLevelType w:val="hybridMultilevel"/>
    <w:tmpl w:val="DC02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CF"/>
    <w:rsid w:val="00035738"/>
    <w:rsid w:val="000474DF"/>
    <w:rsid w:val="001106DA"/>
    <w:rsid w:val="00117AE7"/>
    <w:rsid w:val="001A0419"/>
    <w:rsid w:val="001F6F12"/>
    <w:rsid w:val="00284C14"/>
    <w:rsid w:val="002B4108"/>
    <w:rsid w:val="00310EEC"/>
    <w:rsid w:val="00340987"/>
    <w:rsid w:val="003920C9"/>
    <w:rsid w:val="003960FA"/>
    <w:rsid w:val="00475B25"/>
    <w:rsid w:val="004855FE"/>
    <w:rsid w:val="004879E4"/>
    <w:rsid w:val="0052764E"/>
    <w:rsid w:val="00585E0F"/>
    <w:rsid w:val="00595AE9"/>
    <w:rsid w:val="005D75DA"/>
    <w:rsid w:val="00640065"/>
    <w:rsid w:val="00674617"/>
    <w:rsid w:val="00683817"/>
    <w:rsid w:val="0069367A"/>
    <w:rsid w:val="006D4F12"/>
    <w:rsid w:val="00703F9D"/>
    <w:rsid w:val="00717625"/>
    <w:rsid w:val="007A4B00"/>
    <w:rsid w:val="0090346B"/>
    <w:rsid w:val="0092709A"/>
    <w:rsid w:val="00943675"/>
    <w:rsid w:val="00950916"/>
    <w:rsid w:val="00952D26"/>
    <w:rsid w:val="009650CB"/>
    <w:rsid w:val="00991ED2"/>
    <w:rsid w:val="00A4100E"/>
    <w:rsid w:val="00A74F73"/>
    <w:rsid w:val="00A81DFD"/>
    <w:rsid w:val="00A86F51"/>
    <w:rsid w:val="00AD2BBE"/>
    <w:rsid w:val="00B15D69"/>
    <w:rsid w:val="00B66D77"/>
    <w:rsid w:val="00BD672D"/>
    <w:rsid w:val="00C659C3"/>
    <w:rsid w:val="00CE0E62"/>
    <w:rsid w:val="00CF5227"/>
    <w:rsid w:val="00D13E65"/>
    <w:rsid w:val="00D85ABE"/>
    <w:rsid w:val="00DB1D07"/>
    <w:rsid w:val="00E319FD"/>
    <w:rsid w:val="00E6715D"/>
    <w:rsid w:val="00EE2CC3"/>
    <w:rsid w:val="00F120CA"/>
    <w:rsid w:val="00F23D7E"/>
    <w:rsid w:val="00F23F3B"/>
    <w:rsid w:val="00F2506B"/>
    <w:rsid w:val="00F464B5"/>
    <w:rsid w:val="00F8680D"/>
    <w:rsid w:val="00FB7DCF"/>
    <w:rsid w:val="00FD2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C523"/>
  <w15:docId w15:val="{88E10C86-E298-460C-89BC-68CBC24A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5"/>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F12"/>
    <w:pPr>
      <w:ind w:left="720"/>
      <w:contextualSpacing/>
    </w:pPr>
  </w:style>
  <w:style w:type="table" w:customStyle="1" w:styleId="Rastertabel2-Accent51">
    <w:name w:val="Rastertabel 2 - Accent 51"/>
    <w:basedOn w:val="NormalTablo"/>
    <w:uiPriority w:val="47"/>
    <w:rsid w:val="009650CB"/>
    <w:pPr>
      <w:spacing w:after="0" w:line="240" w:lineRule="auto"/>
    </w:pPr>
    <w:rPr>
      <w:lang w:val="nl-N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tBilgi">
    <w:name w:val="header"/>
    <w:basedOn w:val="Normal"/>
    <w:link w:val="stBilgiChar"/>
    <w:uiPriority w:val="99"/>
    <w:semiHidden/>
    <w:unhideWhenUsed/>
    <w:rsid w:val="009650C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650CB"/>
    <w:rPr>
      <w:rFonts w:ascii="Times New Roman" w:hAnsi="Times New Roman"/>
      <w:sz w:val="24"/>
    </w:rPr>
  </w:style>
  <w:style w:type="paragraph" w:styleId="AltBilgi">
    <w:name w:val="footer"/>
    <w:basedOn w:val="Normal"/>
    <w:link w:val="AltBilgiChar"/>
    <w:uiPriority w:val="99"/>
    <w:unhideWhenUsed/>
    <w:rsid w:val="009650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50CB"/>
    <w:rPr>
      <w:rFonts w:ascii="Times New Roman" w:hAnsi="Times New Roman"/>
      <w:sz w:val="24"/>
    </w:rPr>
  </w:style>
  <w:style w:type="character" w:styleId="Kpr">
    <w:name w:val="Hyperlink"/>
    <w:basedOn w:val="VarsaylanParagrafYazTipi"/>
    <w:uiPriority w:val="99"/>
    <w:unhideWhenUsed/>
    <w:rsid w:val="001106DA"/>
    <w:rPr>
      <w:color w:val="0000FF" w:themeColor="hyperlink"/>
      <w:u w:val="single"/>
    </w:rPr>
  </w:style>
  <w:style w:type="paragraph" w:styleId="NormalWeb">
    <w:name w:val="Normal (Web)"/>
    <w:basedOn w:val="Normal"/>
    <w:uiPriority w:val="99"/>
    <w:semiHidden/>
    <w:unhideWhenUsed/>
    <w:rsid w:val="00F8680D"/>
    <w:pPr>
      <w:spacing w:before="100" w:beforeAutospacing="1" w:after="100" w:afterAutospacing="1" w:line="240" w:lineRule="auto"/>
      <w:jc w:val="left"/>
    </w:pPr>
    <w:rPr>
      <w:rFonts w:eastAsia="Times New Roman" w:cs="Times New Roman"/>
      <w:szCs w:val="24"/>
      <w:lang w:eastAsia="tr-TR"/>
    </w:rPr>
  </w:style>
  <w:style w:type="character" w:styleId="zlenenKpr">
    <w:name w:val="FollowedHyperlink"/>
    <w:basedOn w:val="VarsaylanParagrafYazTipi"/>
    <w:uiPriority w:val="99"/>
    <w:semiHidden/>
    <w:unhideWhenUsed/>
    <w:rsid w:val="00DB1D07"/>
    <w:rPr>
      <w:color w:val="800080" w:themeColor="followedHyperlink"/>
      <w:u w:val="single"/>
    </w:rPr>
  </w:style>
  <w:style w:type="paragraph" w:styleId="BalonMetni">
    <w:name w:val="Balloon Text"/>
    <w:basedOn w:val="Normal"/>
    <w:link w:val="BalonMetniChar"/>
    <w:uiPriority w:val="99"/>
    <w:semiHidden/>
    <w:unhideWhenUsed/>
    <w:rsid w:val="00117A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7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29446">
      <w:bodyDiv w:val="1"/>
      <w:marLeft w:val="0"/>
      <w:marRight w:val="0"/>
      <w:marTop w:val="0"/>
      <w:marBottom w:val="0"/>
      <w:divBdr>
        <w:top w:val="none" w:sz="0" w:space="0" w:color="auto"/>
        <w:left w:val="none" w:sz="0" w:space="0" w:color="auto"/>
        <w:bottom w:val="none" w:sz="0" w:space="0" w:color="auto"/>
        <w:right w:val="none" w:sz="0" w:space="0" w:color="auto"/>
      </w:divBdr>
    </w:div>
    <w:div w:id="1431395147">
      <w:bodyDiv w:val="1"/>
      <w:marLeft w:val="0"/>
      <w:marRight w:val="0"/>
      <w:marTop w:val="0"/>
      <w:marBottom w:val="0"/>
      <w:divBdr>
        <w:top w:val="none" w:sz="0" w:space="0" w:color="auto"/>
        <w:left w:val="none" w:sz="0" w:space="0" w:color="auto"/>
        <w:bottom w:val="none" w:sz="0" w:space="0" w:color="auto"/>
        <w:right w:val="none" w:sz="0" w:space="0" w:color="auto"/>
      </w:divBdr>
    </w:div>
    <w:div w:id="16260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qa_brexit_industrial_products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EE94E-4549-43D3-8187-7D841681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1132</Words>
  <Characters>6455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mine.isik</dc:creator>
  <cp:keywords/>
  <dc:description/>
  <cp:lastModifiedBy>Güllü Ceyda İŞBAŞAR</cp:lastModifiedBy>
  <cp:revision>6</cp:revision>
  <cp:lastPrinted>2019-03-18T07:38:00Z</cp:lastPrinted>
  <dcterms:created xsi:type="dcterms:W3CDTF">2019-03-15T17:09:00Z</dcterms:created>
  <dcterms:modified xsi:type="dcterms:W3CDTF">2019-03-18T07:58:00Z</dcterms:modified>
</cp:coreProperties>
</file>